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FINAL CONSULTANCY REPORT</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 xml:space="preserve">Leadership and Governance Capacity Building for </w:t>
      </w:r>
      <w:proofErr w:type="spellStart"/>
      <w:r w:rsidRPr="007B7BCC">
        <w:rPr>
          <w:rFonts w:ascii="Times New Roman" w:eastAsia="Times New Roman" w:hAnsi="Times New Roman" w:cs="Times New Roman"/>
          <w:b/>
          <w:bCs/>
          <w:sz w:val="36"/>
          <w:szCs w:val="36"/>
        </w:rPr>
        <w:t>Boma</w:t>
      </w:r>
      <w:proofErr w:type="spellEnd"/>
      <w:r w:rsidRPr="007B7BCC">
        <w:rPr>
          <w:rFonts w:ascii="Times New Roman" w:eastAsia="Times New Roman" w:hAnsi="Times New Roman" w:cs="Times New Roman"/>
          <w:b/>
          <w:bCs/>
          <w:sz w:val="36"/>
          <w:szCs w:val="36"/>
        </w:rPr>
        <w:t xml:space="preserve"> Health Initiative Officers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Submitted to:</w:t>
      </w:r>
      <w:r w:rsidRPr="007B7BCC">
        <w:rPr>
          <w:rFonts w:ascii="Times New Roman" w:eastAsia="Times New Roman" w:hAnsi="Times New Roman" w:cs="Times New Roman"/>
          <w:sz w:val="24"/>
          <w:szCs w:val="24"/>
        </w:rPr>
        <w:t xml:space="preserve"> Reproductive Health Association of South Sudan (RHASS)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Collaborating Partners:</w:t>
      </w:r>
      <w:r w:rsidRPr="007B7BCC">
        <w:rPr>
          <w:rFonts w:ascii="Times New Roman" w:eastAsia="Times New Roman" w:hAnsi="Times New Roman" w:cs="Times New Roman"/>
          <w:sz w:val="24"/>
          <w:szCs w:val="24"/>
        </w:rPr>
        <w:t xml:space="preserve"> Ipas, International Rescue Committee (IRC), and Johns Hopkins Center for Communication Programs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Consultant:</w:t>
      </w:r>
      <w:r w:rsidRPr="007B7BCC">
        <w:rPr>
          <w:rFonts w:ascii="Times New Roman" w:eastAsia="Times New Roman" w:hAnsi="Times New Roman" w:cs="Times New Roman"/>
          <w:sz w:val="24"/>
          <w:szCs w:val="24"/>
        </w:rPr>
        <w:t xml:space="preserve"> Dr. Moses Simon </w:t>
      </w:r>
      <w:proofErr w:type="spellStart"/>
      <w:r w:rsidRPr="007B7BCC">
        <w:rPr>
          <w:rFonts w:ascii="Times New Roman" w:eastAsia="Times New Roman" w:hAnsi="Times New Roman" w:cs="Times New Roman"/>
          <w:sz w:val="24"/>
          <w:szCs w:val="24"/>
        </w:rPr>
        <w:t>Lado</w:t>
      </w:r>
      <w:proofErr w:type="spellEnd"/>
      <w:r w:rsidRPr="007B7BCC">
        <w:rPr>
          <w:rFonts w:ascii="Times New Roman" w:eastAsia="Times New Roman" w:hAnsi="Times New Roman" w:cs="Times New Roman"/>
          <w:sz w:val="24"/>
          <w:szCs w:val="24"/>
        </w:rPr>
        <w:t xml:space="preserve"> Gordon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Duty Station:</w:t>
      </w:r>
      <w:r w:rsidRPr="007B7BCC">
        <w:rPr>
          <w:rFonts w:ascii="Times New Roman" w:eastAsia="Times New Roman" w:hAnsi="Times New Roman" w:cs="Times New Roman"/>
          <w:sz w:val="24"/>
          <w:szCs w:val="24"/>
        </w:rPr>
        <w:t xml:space="preserve"> Juba, South Sudan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Target Participants:</w:t>
      </w:r>
      <w:r w:rsidRPr="007B7BCC">
        <w:rPr>
          <w:rFonts w:ascii="Times New Roman" w:eastAsia="Times New Roman" w:hAnsi="Times New Roman" w:cs="Times New Roman"/>
          <w:sz w:val="24"/>
          <w:szCs w:val="24"/>
        </w:rPr>
        <w:t xml:space="preserve"> 38 National and Subnational BHI Officers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Reporting Period:</w:t>
      </w:r>
      <w:r w:rsidRPr="007B7BCC">
        <w:rPr>
          <w:rFonts w:ascii="Times New Roman" w:eastAsia="Times New Roman" w:hAnsi="Times New Roman" w:cs="Times New Roman"/>
          <w:sz w:val="24"/>
          <w:szCs w:val="24"/>
        </w:rPr>
        <w:t xml:space="preserve"> [Insert dates]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25"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EXECUTIVE SUMMARY</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xml:space="preserve">Reproductive Health Association of South Sudan (RHASS), in collaboration with Ipas, International Rescue Committee (IRC), and Johns Hopkins Center for Communication Programs, engaged technical assistance to strengthen the leadership, governance, administrative stewardship and coordination capacities of </w:t>
      </w:r>
      <w:proofErr w:type="spellStart"/>
      <w:r w:rsidRPr="007B7BCC">
        <w:rPr>
          <w:rFonts w:ascii="Times New Roman" w:eastAsia="Times New Roman" w:hAnsi="Times New Roman" w:cs="Times New Roman"/>
          <w:sz w:val="24"/>
          <w:szCs w:val="24"/>
        </w:rPr>
        <w:t>Boma</w:t>
      </w:r>
      <w:proofErr w:type="spellEnd"/>
      <w:r w:rsidRPr="007B7BCC">
        <w:rPr>
          <w:rFonts w:ascii="Times New Roman" w:eastAsia="Times New Roman" w:hAnsi="Times New Roman" w:cs="Times New Roman"/>
          <w:sz w:val="24"/>
          <w:szCs w:val="24"/>
        </w:rPr>
        <w:t xml:space="preserve"> Health Initiative (BHI) officers.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assignment was designed to support national and subnational BHI officers to operate more effectively within South Sudan's decentralized and resource-constrained health system.</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capacity-building intervention focused on:</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Strategic leadership;</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Health-system governance;</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Stewardship;</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Operational planning;</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Resource mobilization;</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SRHR integration;</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GBV referral pathways;</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Family-planning linkages;</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Multi-sectoral coordination;</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Accountability;</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Routine data use;</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Community feedback;</w:t>
      </w:r>
    </w:p>
    <w:p w:rsidR="007B7BCC" w:rsidRPr="007B7BCC" w:rsidRDefault="007B7BCC" w:rsidP="007B7BCC">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Supportive supervision.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consultancy used a participatory and practical methodology, combining presentations, facilitated discussions, case studies, group exercises, scenario analysis, peer learning and action planning.</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assignment emphasized that sustainable capacity strengthening requires intervention at individual, organizational and system levels.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26"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 INTRODUCTION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xml:space="preserve">The </w:t>
      </w:r>
      <w:proofErr w:type="spellStart"/>
      <w:r w:rsidRPr="007B7BCC">
        <w:rPr>
          <w:rFonts w:ascii="Times New Roman" w:eastAsia="Times New Roman" w:hAnsi="Times New Roman" w:cs="Times New Roman"/>
          <w:sz w:val="24"/>
          <w:szCs w:val="24"/>
        </w:rPr>
        <w:t>Boma</w:t>
      </w:r>
      <w:proofErr w:type="spellEnd"/>
      <w:r w:rsidRPr="007B7BCC">
        <w:rPr>
          <w:rFonts w:ascii="Times New Roman" w:eastAsia="Times New Roman" w:hAnsi="Times New Roman" w:cs="Times New Roman"/>
          <w:sz w:val="24"/>
          <w:szCs w:val="24"/>
        </w:rPr>
        <w:t xml:space="preserve"> Health Initiative is South Sudan's national strategy for strengthening sustainable community-level primary healthcare.</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BHI officers operate at the interface between communities, health facilities, government structures and humanitarian/development partners.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Effective performance therefore requires more than technical health knowledge. Officers require leadership, governance, planning, coordination, resource-management, accountability and data-use competencies.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This consultancy was designed to address these capacity needs.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27"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2. CONSULTANCY OBJECTIVES</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Overall objective</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To strengthen leadership, governance, administrative stewardship and coordination capacities of national and subnational BHI officers.</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Specific objectives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consultancy sought to:</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leadership competencies.</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Improve governance and stewardship understanding.</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operational planning.</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Improve resource mobilization and stewardship.</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Strengthen multi-agency coordination.</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Improve integration of SRHR and community health interventions.</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GBV referral understanding.</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Improve use of routine data.</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community accountability.</w:t>
      </w:r>
    </w:p>
    <w:p w:rsidR="007B7BCC" w:rsidRPr="007B7BCC" w:rsidRDefault="007B7BCC" w:rsidP="007B7BC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Improve supportive supervision.</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28"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3. PARTICIPANTS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xml:space="preserve">The target group consisted of </w:t>
      </w:r>
      <w:r w:rsidRPr="007B7BCC">
        <w:rPr>
          <w:rFonts w:ascii="Times New Roman" w:eastAsia="Times New Roman" w:hAnsi="Times New Roman" w:cs="Times New Roman"/>
          <w:b/>
          <w:bCs/>
          <w:sz w:val="24"/>
          <w:szCs w:val="24"/>
        </w:rPr>
        <w:t>38 BHI officers</w:t>
      </w:r>
      <w:r w:rsidRPr="007B7BCC">
        <w:rPr>
          <w:rFonts w:ascii="Times New Roman" w:eastAsia="Times New Roman" w:hAnsi="Times New Roman" w:cs="Times New Roman"/>
          <w:sz w:val="24"/>
          <w:szCs w:val="24"/>
        </w:rPr>
        <w:t xml:space="preserve"> operating across national and subnational structures.</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Participant profile</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final participant breakdown by sex, location, role and institution if available.]</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29"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4. METHODOLOGY</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consultancy used an adult-learning and participatory approach.</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Methods included:</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Interactive presentations;</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Group discussions;</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Case studies;</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Role plays;</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Problem-solving;</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Peer learning;</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Practical exercises;</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Data-use exercises;</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Action planning;</w:t>
      </w:r>
    </w:p>
    <w:p w:rsidR="007B7BCC" w:rsidRPr="007B7BCC" w:rsidRDefault="007B7BCC" w:rsidP="007B7BCC">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Reflection and feedback.</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methodology emphasized practical application rather than theoretical knowledge alone.</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0"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5. TRAINING CONTENT</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lastRenderedPageBreak/>
        <w:t>5.1 Leadership</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leadership component addressed:</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Leadership styles;</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Adaptive leadership;</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Team management;</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Communication;</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Delegation;</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Accountability;</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Conflict management;</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Decision-making;</w:t>
      </w:r>
    </w:p>
    <w:p w:rsidR="007B7BCC" w:rsidRPr="007B7BCC" w:rsidRDefault="007B7BCC" w:rsidP="007B7BC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Change management.</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5.2 Health Systems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Participants examined the six health-system building blocks:</w:t>
      </w:r>
    </w:p>
    <w:p w:rsidR="007B7BCC" w:rsidRPr="007B7BCC" w:rsidRDefault="007B7BCC" w:rsidP="007B7BC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Service delivery;</w:t>
      </w:r>
    </w:p>
    <w:p w:rsidR="007B7BCC" w:rsidRPr="007B7BCC" w:rsidRDefault="007B7BCC" w:rsidP="007B7BC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Health workforce;</w:t>
      </w:r>
    </w:p>
    <w:p w:rsidR="007B7BCC" w:rsidRPr="007B7BCC" w:rsidRDefault="007B7BCC" w:rsidP="007B7BC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Health information systems;</w:t>
      </w:r>
    </w:p>
    <w:p w:rsidR="007B7BCC" w:rsidRPr="007B7BCC" w:rsidRDefault="007B7BCC" w:rsidP="007B7BC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Medicines, vaccines and technologies;</w:t>
      </w:r>
    </w:p>
    <w:p w:rsidR="007B7BCC" w:rsidRPr="007B7BCC" w:rsidRDefault="007B7BCC" w:rsidP="007B7BC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Health financing;</w:t>
      </w:r>
    </w:p>
    <w:p w:rsidR="007B7BCC" w:rsidRPr="007B7BCC" w:rsidRDefault="007B7BCC" w:rsidP="007B7BC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Leadership and governance.</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5.3 Governance and Stewardship</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module focused on:</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Governance;</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Stewardship;</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Transparency;</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Accountability;</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Policy implementation;</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Roles and responsibilities;</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Decentralization;</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Coordination;</w:t>
      </w:r>
    </w:p>
    <w:p w:rsidR="007B7BCC" w:rsidRPr="007B7BCC" w:rsidRDefault="007B7BCC" w:rsidP="007B7BCC">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Government ownership.</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5.4 Operational Planning</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Participants developed practical approaches for:</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Situational analysis;</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Priority setting;</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Objective development;</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Activity planning;</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Resource allocation;</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Risk management;</w:t>
      </w:r>
    </w:p>
    <w:p w:rsidR="007B7BCC" w:rsidRPr="007B7BCC" w:rsidRDefault="007B7BCC" w:rsidP="007B7BCC">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Monitoring.</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5.5 Resource Mobilization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Participants examined:</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Resource mapping;</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Partner engagement;</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Funding opportunities;</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Investment cases;</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Budget considerations;</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Sustainability;</w:t>
      </w:r>
    </w:p>
    <w:p w:rsidR="007B7BCC" w:rsidRPr="007B7BCC" w:rsidRDefault="007B7BCC" w:rsidP="007B7BCC">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Accountability and value for money.</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1"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6. SRHR INTEGRATION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SRHR was addressed as an integral component of community health.</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Potential integration areas included:</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Family planning;</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Maternal health;</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Antenatal care;</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Postnatal care;</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HIV/STI referral;</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Adolescent and youth SRHR;</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Menstrual health;</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awareness;</w:t>
      </w:r>
    </w:p>
    <w:p w:rsidR="007B7BCC" w:rsidRPr="007B7BCC" w:rsidRDefault="007B7BCC" w:rsidP="007B7BCC">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GBV prevention and referral.</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integration approach emphasized strengthening existing BHI and primary-healthcare structures rather than establishing parallel systems.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2"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7. GBV REFERRAL PATHWAYS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The GBV component emphasized:</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Survivor-</w:t>
      </w:r>
      <w:proofErr w:type="spellStart"/>
      <w:r w:rsidRPr="007B7BCC">
        <w:rPr>
          <w:rFonts w:ascii="Times New Roman" w:eastAsia="Times New Roman" w:hAnsi="Times New Roman" w:cs="Times New Roman"/>
          <w:sz w:val="24"/>
          <w:szCs w:val="24"/>
        </w:rPr>
        <w:t>centred</w:t>
      </w:r>
      <w:proofErr w:type="spellEnd"/>
      <w:r w:rsidRPr="007B7BCC">
        <w:rPr>
          <w:rFonts w:ascii="Times New Roman" w:eastAsia="Times New Roman" w:hAnsi="Times New Roman" w:cs="Times New Roman"/>
          <w:sz w:val="24"/>
          <w:szCs w:val="24"/>
        </w:rPr>
        <w:t xml:space="preserve"> approaches;</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Confidentiality;</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Informed consent;</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Safety;</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Do No Harm;</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Appropriate referral;</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Safeguarding;</w:t>
      </w:r>
    </w:p>
    <w:p w:rsidR="007B7BCC" w:rsidRPr="007B7BCC" w:rsidRDefault="007B7BCC" w:rsidP="007B7BCC">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PSEA.</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Participants were encouraged to understand the appropriate boundaries of community-level intervention and the importance of safe referral to specialized services.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3"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8. COORDINATION AND ACCOUNTABILITY</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consultancy addressed coordination between:</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National health structures;</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Subnational health authorities;</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BHI officers;</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Health facilities;</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structures;</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Humanitarian organizations;</w:t>
      </w:r>
    </w:p>
    <w:p w:rsidR="007B7BCC" w:rsidRPr="007B7BCC" w:rsidRDefault="007B7BCC" w:rsidP="007B7BCC">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Development partners.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Participants examined stakeholder mapping, role clarification, communication and joint planning.</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4"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9. DATA-DRIVEN DECISION-MAKING</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training introduced the following cycle:</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Collect → Validate → Analyze → Interpret → Decide → Act → Monitor</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Participants were encouraged to use routine data and community feedback to identify performance gaps and make responsive decisions.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pict>
          <v:rect id="_x0000_i1035"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10. SUPPORTIVE SUPERVISION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Supportive supervision was presented as a process of strengthening staff performance rather than simply identifying faults.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proposed approach was: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Observe → Discuss → Identify gaps → Coach → Agree actions → Follow up.</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6"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11. COMMUNITY ACCOUNTABILITY</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accountability mechanisms discussed included:</w:t>
      </w:r>
    </w:p>
    <w:p w:rsidR="007B7BCC" w:rsidRPr="007B7BCC" w:rsidRDefault="007B7BCC" w:rsidP="007B7BCC">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consultations;</w:t>
      </w:r>
    </w:p>
    <w:p w:rsidR="007B7BCC" w:rsidRPr="007B7BCC" w:rsidRDefault="007B7BCC" w:rsidP="007B7BCC">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Feedback mechanisms;</w:t>
      </w:r>
    </w:p>
    <w:p w:rsidR="007B7BCC" w:rsidRPr="007B7BCC" w:rsidRDefault="007B7BCC" w:rsidP="007B7BCC">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Complaints and response systems;</w:t>
      </w:r>
    </w:p>
    <w:p w:rsidR="007B7BCC" w:rsidRPr="007B7BCC" w:rsidRDefault="007B7BCC" w:rsidP="007B7BCC">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dialogue;</w:t>
      </w:r>
    </w:p>
    <w:p w:rsidR="007B7BCC" w:rsidRPr="007B7BCC" w:rsidRDefault="007B7BCC" w:rsidP="007B7BCC">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Information sharing;</w:t>
      </w:r>
    </w:p>
    <w:p w:rsidR="007B7BCC" w:rsidRPr="007B7BCC" w:rsidRDefault="007B7BCC" w:rsidP="007B7BCC">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Closing the feedback loop.</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consultancy emphasized meaningful participation and ensuring that community feedback informs programme decisions.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7"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12. CAPACITY ASSESSMENT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Baseline assessment</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methodology and baseline results.]</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Post-training assessment</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methodology and post-training results.]</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Key capacity changes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evidence-based findings.]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Where quantitative assessment was conducted, results should be presented 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2"/>
        <w:gridCol w:w="914"/>
        <w:gridCol w:w="861"/>
        <w:gridCol w:w="862"/>
      </w:tblGrid>
      <w:tr w:rsidR="007B7BCC" w:rsidRPr="007B7BCC" w:rsidTr="007B7BCC">
        <w:trPr>
          <w:tblHeader/>
          <w:tblCellSpacing w:w="15" w:type="dxa"/>
        </w:trPr>
        <w:tc>
          <w:tcPr>
            <w:tcW w:w="0" w:type="auto"/>
            <w:vAlign w:val="center"/>
            <w:hideMark/>
          </w:tcPr>
          <w:p w:rsidR="007B7BCC" w:rsidRPr="007B7BCC" w:rsidRDefault="007B7BCC" w:rsidP="007B7BCC">
            <w:pPr>
              <w:spacing w:after="0" w:line="240" w:lineRule="auto"/>
              <w:jc w:val="center"/>
              <w:rPr>
                <w:rFonts w:ascii="Times New Roman" w:eastAsia="Times New Roman" w:hAnsi="Times New Roman" w:cs="Times New Roman"/>
                <w:b/>
                <w:bCs/>
                <w:sz w:val="24"/>
                <w:szCs w:val="24"/>
              </w:rPr>
            </w:pPr>
            <w:r w:rsidRPr="007B7BCC">
              <w:rPr>
                <w:rFonts w:ascii="Times New Roman" w:eastAsia="Times New Roman" w:hAnsi="Times New Roman" w:cs="Times New Roman"/>
                <w:b/>
                <w:bCs/>
                <w:sz w:val="24"/>
                <w:szCs w:val="24"/>
              </w:rPr>
              <w:t>Competency</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b/>
                <w:bCs/>
                <w:sz w:val="24"/>
                <w:szCs w:val="24"/>
              </w:rPr>
            </w:pPr>
            <w:r w:rsidRPr="007B7BCC">
              <w:rPr>
                <w:rFonts w:ascii="Times New Roman" w:eastAsia="Times New Roman" w:hAnsi="Times New Roman" w:cs="Times New Roman"/>
                <w:b/>
                <w:bCs/>
                <w:sz w:val="24"/>
                <w:szCs w:val="24"/>
              </w:rPr>
              <w:t>Baseline</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b/>
                <w:bCs/>
                <w:sz w:val="24"/>
                <w:szCs w:val="24"/>
              </w:rPr>
            </w:pPr>
            <w:proofErr w:type="spellStart"/>
            <w:r w:rsidRPr="007B7BCC">
              <w:rPr>
                <w:rFonts w:ascii="Times New Roman" w:eastAsia="Times New Roman" w:hAnsi="Times New Roman" w:cs="Times New Roman"/>
                <w:b/>
                <w:bCs/>
                <w:sz w:val="24"/>
                <w:szCs w:val="24"/>
              </w:rPr>
              <w:t>Endline</w:t>
            </w:r>
            <w:proofErr w:type="spellEnd"/>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b/>
                <w:bCs/>
                <w:sz w:val="24"/>
                <w:szCs w:val="24"/>
              </w:rPr>
            </w:pPr>
            <w:r w:rsidRPr="007B7BCC">
              <w:rPr>
                <w:rFonts w:ascii="Times New Roman" w:eastAsia="Times New Roman" w:hAnsi="Times New Roman" w:cs="Times New Roman"/>
                <w:b/>
                <w:bCs/>
                <w:sz w:val="24"/>
                <w:szCs w:val="24"/>
              </w:rPr>
              <w:t>Change</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Leadership</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Governance</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Planning</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Coordination</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Data use</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Accountability</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r w:rsidR="007B7BCC" w:rsidRPr="007B7BCC" w:rsidTr="007B7BCC">
        <w:trPr>
          <w:tblCellSpacing w:w="15" w:type="dxa"/>
        </w:trPr>
        <w:tc>
          <w:tcPr>
            <w:tcW w:w="0" w:type="auto"/>
            <w:vAlign w:val="center"/>
            <w:hideMark/>
          </w:tcPr>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SRHR integration</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c>
          <w:tcPr>
            <w:tcW w:w="0" w:type="auto"/>
            <w:vAlign w:val="center"/>
            <w:hideMark/>
          </w:tcPr>
          <w:p w:rsidR="007B7BCC" w:rsidRPr="007B7BCC" w:rsidRDefault="007B7BCC" w:rsidP="007B7BCC">
            <w:pPr>
              <w:spacing w:after="0" w:line="240" w:lineRule="auto"/>
              <w:jc w:val="right"/>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 ]</w:t>
            </w:r>
          </w:p>
        </w:tc>
      </w:tr>
    </w:tbl>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8"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13. KEY OUTPUTS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consultancy outputs should be documented under the following categories:</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Curriculum</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final curriculum developed/adapted.]</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Training materials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materials produced.]</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Governance tools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tools finalized.]</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Integration framework</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SRHR/GBV/family-planning integration framework.]</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Action plans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number and type of participant action plans.]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39"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14. LESSONS LEARNED</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Lessons should be finalized based on actual implementation. Suggested areas for documentation include:</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Training is more effective when linked to participants' real operational challenges.</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Capacity strengthening should address institutional and system barriers alongside individual skills.</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Coordination requires clear roles and communication pathways.</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Data becomes more useful when linked directly to management decisions.</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feedback should be integrated into routine programme management.</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Sustainability requires government ownership and integration with existing systems.</w:t>
      </w:r>
    </w:p>
    <w:p w:rsidR="007B7BCC" w:rsidRPr="007B7BCC" w:rsidRDefault="007B7BCC" w:rsidP="007B7BCC">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Coaching and mentoring should complement formal training.</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40"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15. RECOMMENDATIONS</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Short term</w:t>
      </w:r>
    </w:p>
    <w:p w:rsidR="007B7BCC" w:rsidRPr="007B7BCC" w:rsidRDefault="007B7BCC" w:rsidP="007B7BCC">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Continue coaching and mentoring of BHI officers.</w:t>
      </w:r>
    </w:p>
    <w:p w:rsidR="007B7BCC" w:rsidRPr="007B7BCC" w:rsidRDefault="007B7BCC" w:rsidP="007B7BCC">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Finalize and institutionalize practical governance tools.</w:t>
      </w:r>
    </w:p>
    <w:p w:rsidR="007B7BCC" w:rsidRPr="007B7BCC" w:rsidRDefault="007B7BCC" w:rsidP="007B7BCC">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national-to-subnational communication.</w:t>
      </w:r>
    </w:p>
    <w:p w:rsidR="007B7BCC" w:rsidRPr="007B7BCC" w:rsidRDefault="007B7BCC" w:rsidP="007B7BCC">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Integrate leadership action plans into routine performance reviews.</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Medium term</w:t>
      </w:r>
    </w:p>
    <w:p w:rsidR="007B7BCC" w:rsidRPr="007B7BCC" w:rsidRDefault="007B7BCC" w:rsidP="007B7BCC">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Establish periodic BHI leadership and governance reviews.</w:t>
      </w:r>
    </w:p>
    <w:p w:rsidR="007B7BCC" w:rsidRPr="007B7BCC" w:rsidRDefault="007B7BCC" w:rsidP="007B7BCC">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routine data-use practices.</w:t>
      </w:r>
    </w:p>
    <w:p w:rsidR="007B7BCC" w:rsidRPr="007B7BCC" w:rsidRDefault="007B7BCC" w:rsidP="007B7BCC">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Integrate community feedback into planning.</w:t>
      </w:r>
    </w:p>
    <w:p w:rsidR="007B7BCC" w:rsidRPr="007B7BCC" w:rsidRDefault="007B7BCC" w:rsidP="007B7BCC">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coordination between BHI and primary healthcare structures.</w:t>
      </w:r>
    </w:p>
    <w:p w:rsidR="007B7BCC" w:rsidRPr="007B7BCC" w:rsidRDefault="007B7BCC" w:rsidP="007B7BCC">
      <w:pPr>
        <w:spacing w:before="100" w:beforeAutospacing="1" w:after="100" w:afterAutospacing="1" w:line="240" w:lineRule="auto"/>
        <w:outlineLvl w:val="1"/>
        <w:rPr>
          <w:rFonts w:ascii="Times New Roman" w:eastAsia="Times New Roman" w:hAnsi="Times New Roman" w:cs="Times New Roman"/>
          <w:b/>
          <w:bCs/>
          <w:sz w:val="36"/>
          <w:szCs w:val="36"/>
        </w:rPr>
      </w:pPr>
      <w:r w:rsidRPr="007B7BCC">
        <w:rPr>
          <w:rFonts w:ascii="Times New Roman" w:eastAsia="Times New Roman" w:hAnsi="Times New Roman" w:cs="Times New Roman"/>
          <w:b/>
          <w:bCs/>
          <w:sz w:val="36"/>
          <w:szCs w:val="36"/>
        </w:rPr>
        <w:t>Longer term</w:t>
      </w:r>
    </w:p>
    <w:p w:rsidR="007B7BCC" w:rsidRPr="007B7BCC" w:rsidRDefault="007B7BCC" w:rsidP="007B7BCC">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Institutionalize leadership development within BHI structures.</w:t>
      </w:r>
    </w:p>
    <w:p w:rsidR="007B7BCC" w:rsidRPr="007B7BCC" w:rsidRDefault="007B7BCC" w:rsidP="007B7BCC">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Develop a continuing capacity-strengthening framework.</w:t>
      </w:r>
    </w:p>
    <w:p w:rsidR="007B7BCC" w:rsidRPr="007B7BCC" w:rsidRDefault="007B7BCC" w:rsidP="007B7BCC">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 government ownership and stewardship.</w:t>
      </w:r>
    </w:p>
    <w:p w:rsidR="007B7BCC" w:rsidRPr="007B7BCC" w:rsidRDefault="007B7BCC" w:rsidP="007B7BCC">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Establish mechanisms to measure sustained application of competencies.</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41"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16. SUSTAINABILITY</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Sustainability should be achieved by embedding the tools and competencies within existing BHI and health-system structures.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Key sustainability measures include:</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lastRenderedPageBreak/>
        <w:t>Government ownership;</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Existing coordination mechanisms;</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Routine supervision;</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Coaching and mentoring;</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Reusable tools;</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Performance reviews;</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Routine data systems;</w:t>
      </w:r>
    </w:p>
    <w:p w:rsidR="007B7BCC" w:rsidRPr="007B7BCC" w:rsidRDefault="007B7BCC" w:rsidP="007B7BCC">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Community feedback.</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42"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17. CONCLUSION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leadership and governance capacity-building intervention is designed to contribute to stronger BHI implementation by strengthening the capabilities of officers working across national and subnational structures.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The central principle is that effective community health systems require capable people, effective governance, appropriate resources, reliable information, meaningful community participation and strong coordination.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Strengthening these elements simultaneously can help BHI officers translate national health priorities into effective community-level implementation.</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43" style="width:0;height:1.5pt" o:hralign="center" o:hrstd="t" o:hr="t" fillcolor="#a0a0a0" stroked="f"/>
        </w:pict>
      </w:r>
    </w:p>
    <w:p w:rsidR="007B7BCC" w:rsidRPr="007B7BCC" w:rsidRDefault="007B7BCC" w:rsidP="007B7BC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B7BCC">
        <w:rPr>
          <w:rFonts w:ascii="Times New Roman" w:eastAsia="Times New Roman" w:hAnsi="Times New Roman" w:cs="Times New Roman"/>
          <w:b/>
          <w:bCs/>
          <w:kern w:val="36"/>
          <w:sz w:val="48"/>
          <w:szCs w:val="48"/>
        </w:rPr>
        <w:t>18. ANNEXES</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1 – Final Training Agenda</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2 – Participant List</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3 – Training Curriculum</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4 – Pre/Post Assessment</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lastRenderedPageBreak/>
        <w:t>Annex 5 – Training Evaluation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6 – Participant Action Plans</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7 – Governance and Accountability Matrix</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8 – SRHR Integration Framework</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9 – Supportive Supervision Tool</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10 – Data-to-Decision Tool</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w:t>
      </w:r>
    </w:p>
    <w:p w:rsidR="007B7BCC" w:rsidRPr="007B7BCC" w:rsidRDefault="007B7BCC" w:rsidP="007B7BCC">
      <w:pPr>
        <w:spacing w:before="100" w:beforeAutospacing="1" w:after="100" w:afterAutospacing="1" w:line="240" w:lineRule="auto"/>
        <w:outlineLvl w:val="2"/>
        <w:rPr>
          <w:rFonts w:ascii="Times New Roman" w:eastAsia="Times New Roman" w:hAnsi="Times New Roman" w:cs="Times New Roman"/>
          <w:b/>
          <w:bCs/>
          <w:sz w:val="27"/>
          <w:szCs w:val="27"/>
        </w:rPr>
      </w:pPr>
      <w:r w:rsidRPr="007B7BCC">
        <w:rPr>
          <w:rFonts w:ascii="Times New Roman" w:eastAsia="Times New Roman" w:hAnsi="Times New Roman" w:cs="Times New Roman"/>
          <w:b/>
          <w:bCs/>
          <w:sz w:val="27"/>
          <w:szCs w:val="27"/>
        </w:rPr>
        <w:t>Annex 11 – Photographs/Training Documentation</w: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t>[Insert where appropriate and authorized]</w:t>
      </w:r>
    </w:p>
    <w:p w:rsidR="007B7BCC" w:rsidRPr="007B7BCC" w:rsidRDefault="007B7BCC" w:rsidP="007B7BCC">
      <w:pPr>
        <w:spacing w:after="0"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sz w:val="24"/>
          <w:szCs w:val="24"/>
        </w:rPr>
        <w:pict>
          <v:rect id="_x0000_i1044" style="width:0;height:1.5pt" o:hralign="center" o:hrstd="t" o:hr="t" fillcolor="#a0a0a0" stroked="f"/>
        </w:pict>
      </w:r>
    </w:p>
    <w:p w:rsidR="007B7BCC" w:rsidRPr="007B7BCC" w:rsidRDefault="007B7BCC" w:rsidP="007B7BCC">
      <w:pPr>
        <w:spacing w:before="100" w:beforeAutospacing="1" w:after="100" w:afterAutospacing="1" w:line="240" w:lineRule="auto"/>
        <w:rPr>
          <w:rFonts w:ascii="Times New Roman" w:eastAsia="Times New Roman" w:hAnsi="Times New Roman" w:cs="Times New Roman"/>
          <w:sz w:val="24"/>
          <w:szCs w:val="24"/>
        </w:rPr>
      </w:pPr>
      <w:r w:rsidRPr="007B7BCC">
        <w:rPr>
          <w:rFonts w:ascii="Times New Roman" w:eastAsia="Times New Roman" w:hAnsi="Times New Roman" w:cs="Times New Roman"/>
          <w:b/>
          <w:bCs/>
          <w:sz w:val="24"/>
          <w:szCs w:val="24"/>
        </w:rPr>
        <w:t>Prepared by:</w:t>
      </w:r>
      <w:r w:rsidRPr="007B7BCC">
        <w:rPr>
          <w:rFonts w:ascii="Times New Roman" w:eastAsia="Times New Roman" w:hAnsi="Times New Roman" w:cs="Times New Roman"/>
          <w:sz w:val="24"/>
          <w:szCs w:val="24"/>
        </w:rPr>
        <w:br/>
      </w:r>
      <w:r w:rsidRPr="007B7BCC">
        <w:rPr>
          <w:rFonts w:ascii="Times New Roman" w:eastAsia="Times New Roman" w:hAnsi="Times New Roman" w:cs="Times New Roman"/>
          <w:b/>
          <w:bCs/>
          <w:sz w:val="24"/>
          <w:szCs w:val="24"/>
        </w:rPr>
        <w:t xml:space="preserve">Dr. Moses Simon </w:t>
      </w:r>
      <w:proofErr w:type="spellStart"/>
      <w:r w:rsidRPr="007B7BCC">
        <w:rPr>
          <w:rFonts w:ascii="Times New Roman" w:eastAsia="Times New Roman" w:hAnsi="Times New Roman" w:cs="Times New Roman"/>
          <w:b/>
          <w:bCs/>
          <w:sz w:val="24"/>
          <w:szCs w:val="24"/>
        </w:rPr>
        <w:t>Lado</w:t>
      </w:r>
      <w:proofErr w:type="spellEnd"/>
      <w:r w:rsidRPr="007B7BCC">
        <w:rPr>
          <w:rFonts w:ascii="Times New Roman" w:eastAsia="Times New Roman" w:hAnsi="Times New Roman" w:cs="Times New Roman"/>
          <w:b/>
          <w:bCs/>
          <w:sz w:val="24"/>
          <w:szCs w:val="24"/>
        </w:rPr>
        <w:t xml:space="preserve"> Gordon</w:t>
      </w:r>
      <w:r w:rsidRPr="007B7BCC">
        <w:rPr>
          <w:rFonts w:ascii="Times New Roman" w:eastAsia="Times New Roman" w:hAnsi="Times New Roman" w:cs="Times New Roman"/>
          <w:sz w:val="24"/>
          <w:szCs w:val="24"/>
        </w:rPr>
        <w:br/>
        <w:t>Public Health &amp; Health Systems Specialist</w:t>
      </w:r>
      <w:r w:rsidRPr="007B7BCC">
        <w:rPr>
          <w:rFonts w:ascii="Times New Roman" w:eastAsia="Times New Roman" w:hAnsi="Times New Roman" w:cs="Times New Roman"/>
          <w:sz w:val="24"/>
          <w:szCs w:val="24"/>
        </w:rPr>
        <w:br/>
        <w:t>Juba, South Sudan</w:t>
      </w:r>
    </w:p>
    <w:p w:rsidR="00E3628E" w:rsidRDefault="00E3628E">
      <w:bookmarkStart w:id="0" w:name="_GoBack"/>
      <w:bookmarkEnd w:id="0"/>
    </w:p>
    <w:sectPr w:rsidR="00E36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6937"/>
    <w:multiLevelType w:val="multilevel"/>
    <w:tmpl w:val="6620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271E1"/>
    <w:multiLevelType w:val="multilevel"/>
    <w:tmpl w:val="2382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A67C9"/>
    <w:multiLevelType w:val="multilevel"/>
    <w:tmpl w:val="ACCA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0751D"/>
    <w:multiLevelType w:val="multilevel"/>
    <w:tmpl w:val="4DF0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C61372"/>
    <w:multiLevelType w:val="multilevel"/>
    <w:tmpl w:val="7A74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20CE8"/>
    <w:multiLevelType w:val="multilevel"/>
    <w:tmpl w:val="BE5E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E303F"/>
    <w:multiLevelType w:val="multilevel"/>
    <w:tmpl w:val="1CF2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F0447C"/>
    <w:multiLevelType w:val="multilevel"/>
    <w:tmpl w:val="2A68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003EED"/>
    <w:multiLevelType w:val="multilevel"/>
    <w:tmpl w:val="A4AE0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D307C6"/>
    <w:multiLevelType w:val="multilevel"/>
    <w:tmpl w:val="CD66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972481"/>
    <w:multiLevelType w:val="multilevel"/>
    <w:tmpl w:val="4324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B4CF7"/>
    <w:multiLevelType w:val="multilevel"/>
    <w:tmpl w:val="C358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C47AA1"/>
    <w:multiLevelType w:val="multilevel"/>
    <w:tmpl w:val="A6E89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3B1E59"/>
    <w:multiLevelType w:val="multilevel"/>
    <w:tmpl w:val="D0FA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A7626"/>
    <w:multiLevelType w:val="multilevel"/>
    <w:tmpl w:val="E390C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527167"/>
    <w:multiLevelType w:val="multilevel"/>
    <w:tmpl w:val="7BE0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2C6182"/>
    <w:multiLevelType w:val="multilevel"/>
    <w:tmpl w:val="FE90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4"/>
  </w:num>
  <w:num w:numId="3">
    <w:abstractNumId w:val="6"/>
  </w:num>
  <w:num w:numId="4">
    <w:abstractNumId w:val="1"/>
  </w:num>
  <w:num w:numId="5">
    <w:abstractNumId w:val="8"/>
  </w:num>
  <w:num w:numId="6">
    <w:abstractNumId w:val="9"/>
  </w:num>
  <w:num w:numId="7">
    <w:abstractNumId w:val="10"/>
  </w:num>
  <w:num w:numId="8">
    <w:abstractNumId w:val="0"/>
  </w:num>
  <w:num w:numId="9">
    <w:abstractNumId w:val="13"/>
  </w:num>
  <w:num w:numId="10">
    <w:abstractNumId w:val="3"/>
  </w:num>
  <w:num w:numId="11">
    <w:abstractNumId w:val="7"/>
  </w:num>
  <w:num w:numId="12">
    <w:abstractNumId w:val="11"/>
  </w:num>
  <w:num w:numId="13">
    <w:abstractNumId w:val="12"/>
  </w:num>
  <w:num w:numId="14">
    <w:abstractNumId w:val="5"/>
  </w:num>
  <w:num w:numId="15">
    <w:abstractNumId w:val="2"/>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BCC"/>
    <w:rsid w:val="007B7BCC"/>
    <w:rsid w:val="00E36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F86AC-82D9-47E5-98EF-1AD72C32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7B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B7B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B7B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B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B7B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B7BC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B7B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7B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0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Moses Gordon</dc:creator>
  <cp:keywords/>
  <dc:description/>
  <cp:lastModifiedBy>Dr. Moses Gordon</cp:lastModifiedBy>
  <cp:revision>1</cp:revision>
  <dcterms:created xsi:type="dcterms:W3CDTF">2026-09-18T09:18:00Z</dcterms:created>
  <dcterms:modified xsi:type="dcterms:W3CDTF">2026-09-18T09:18:00Z</dcterms:modified>
</cp:coreProperties>
</file>